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066A">
      <w:pPr>
        <w:pStyle w:val="Style1"/>
        <w:kinsoku w:val="0"/>
        <w:autoSpaceDE/>
        <w:autoSpaceDN/>
        <w:spacing w:before="252" w:line="196" w:lineRule="auto"/>
        <w:rPr>
          <w:rStyle w:val="CharacterStyle2"/>
          <w:rFonts w:ascii="Verdana" w:hAnsi="Verdana" w:cs="Verdana"/>
          <w:b/>
          <w:bCs/>
          <w:spacing w:val="-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2"/>
          <w:lang w:val="es-ES" w:eastAsia="es-ES"/>
        </w:rPr>
        <w:t>RESOLUCION N° 1459-05</w:t>
      </w:r>
    </w:p>
    <w:p w:rsidR="00000000" w:rsidRDefault="00BD066A" w:rsidP="00BD066A">
      <w:pPr>
        <w:pStyle w:val="Style2"/>
        <w:kinsoku w:val="0"/>
        <w:autoSpaceDE/>
        <w:autoSpaceDN/>
        <w:adjustRightInd/>
        <w:spacing w:before="468"/>
        <w:ind w:left="72" w:right="72"/>
        <w:jc w:val="both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5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San José, a las once horas y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cuarenta minutos del dieciséis de diciembre del dos mil cinco.-</w:t>
      </w:r>
    </w:p>
    <w:p w:rsidR="00000000" w:rsidRDefault="00BD066A">
      <w:pPr>
        <w:pStyle w:val="Style3"/>
        <w:kinsoku w:val="0"/>
        <w:autoSpaceDE/>
        <w:autoSpaceDN/>
        <w:rPr>
          <w:rStyle w:val="CharacterStyle1"/>
          <w:rFonts w:ascii="Tahoma" w:hAnsi="Tahoma" w:cs="Tahoma"/>
          <w:spacing w:val="13"/>
          <w:lang w:val="es-ES" w:eastAsia="es-ES"/>
        </w:rPr>
      </w:pPr>
      <w:r>
        <w:rPr>
          <w:rStyle w:val="CharacterStyle1"/>
          <w:rFonts w:ascii="Tahoma" w:hAnsi="Tahoma" w:cs="Tahoma"/>
          <w:spacing w:val="21"/>
          <w:lang w:val="es-ES" w:eastAsia="es-ES"/>
        </w:rPr>
        <w:t xml:space="preserve">Se conoce </w:t>
      </w:r>
      <w:r>
        <w:rPr>
          <w:rStyle w:val="CharacterStyle1"/>
          <w:rFonts w:ascii="Tahoma" w:hAnsi="Tahoma" w:cs="Tahoma"/>
          <w:spacing w:val="21"/>
          <w:sz w:val="15"/>
          <w:szCs w:val="15"/>
          <w:lang w:val="es-ES" w:eastAsia="es-ES"/>
        </w:rPr>
        <w:t xml:space="preserve">RECURSO DE APELACIÓN </w:t>
      </w:r>
      <w:r>
        <w:rPr>
          <w:rStyle w:val="CharacterStyle1"/>
          <w:rFonts w:ascii="Tahoma" w:hAnsi="Tahoma" w:cs="Tahoma"/>
          <w:spacing w:val="21"/>
          <w:lang w:val="es-ES" w:eastAsia="es-ES"/>
        </w:rPr>
        <w:t>de CA</w:t>
      </w:r>
      <w:r>
        <w:rPr>
          <w:rStyle w:val="CharacterStyle1"/>
          <w:rFonts w:ascii="Tahoma" w:hAnsi="Tahoma" w:cs="Tahoma"/>
          <w:spacing w:val="21"/>
          <w:lang w:val="es-ES" w:eastAsia="es-ES"/>
        </w:rPr>
        <w:t>V</w:t>
      </w:r>
      <w:r>
        <w:rPr>
          <w:rStyle w:val="CharacterStyle1"/>
          <w:rFonts w:ascii="Tahoma" w:hAnsi="Tahoma" w:cs="Tahoma"/>
          <w:spacing w:val="21"/>
          <w:lang w:val="es-ES" w:eastAsia="es-ES"/>
        </w:rPr>
        <w:t>H</w:t>
      </w:r>
      <w:r>
        <w:rPr>
          <w:rStyle w:val="CharacterStyle1"/>
          <w:rFonts w:ascii="Tahoma" w:hAnsi="Tahoma" w:cs="Tahoma"/>
          <w:spacing w:val="21"/>
          <w:lang w:val="es-ES" w:eastAsia="es-ES"/>
        </w:rPr>
        <w:t xml:space="preserve">, 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 xml:space="preserve">cédula de </w:t>
      </w:r>
      <w:proofErr w:type="gramStart"/>
      <w:r>
        <w:rPr>
          <w:rStyle w:val="CharacterStyle1"/>
          <w:rFonts w:ascii="Tahoma" w:hAnsi="Tahoma" w:cs="Tahoma"/>
          <w:spacing w:val="18"/>
          <w:lang w:val="es-ES" w:eastAsia="es-ES"/>
        </w:rPr>
        <w:t>identidad ..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>.</w:t>
      </w:r>
      <w:proofErr w:type="gramEnd"/>
      <w:r>
        <w:rPr>
          <w:rStyle w:val="CharacterStyle1"/>
          <w:rFonts w:ascii="Tahoma" w:hAnsi="Tahoma" w:cs="Tahoma"/>
          <w:spacing w:val="18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18"/>
          <w:w w:val="105"/>
          <w:sz w:val="15"/>
          <w:szCs w:val="15"/>
          <w:lang w:val="es-ES" w:eastAsia="es-ES"/>
        </w:rPr>
        <w:t xml:space="preserve">CONTRA: 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 xml:space="preserve">Actuaciones del Consejo de Transporte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>Pú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>blico, tramitado en este Despacho bajo Expediente Administrativo N° TAT-003-05.</w:t>
      </w:r>
    </w:p>
    <w:p w:rsidR="00000000" w:rsidRDefault="00BD066A">
      <w:pPr>
        <w:pStyle w:val="Style1"/>
        <w:kinsoku w:val="0"/>
        <w:autoSpaceDE/>
        <w:autoSpaceDN/>
        <w:spacing w:before="288"/>
        <w:rPr>
          <w:rStyle w:val="CharacterStyle2"/>
          <w:rFonts w:ascii="Verdana" w:hAnsi="Verdana" w:cs="Verdana"/>
          <w:b/>
          <w:bCs/>
          <w:spacing w:val="-10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10"/>
          <w:lang w:val="es-ES" w:eastAsia="es-ES"/>
        </w:rPr>
        <w:t>CONSIDERANDO:</w:t>
      </w:r>
    </w:p>
    <w:p w:rsidR="00000000" w:rsidRDefault="00BD066A">
      <w:pPr>
        <w:pStyle w:val="Style3"/>
        <w:kinsoku w:val="0"/>
        <w:autoSpaceDE/>
        <w:autoSpaceDN/>
        <w:rPr>
          <w:rStyle w:val="CharacterStyle1"/>
          <w:rFonts w:ascii="Tahoma" w:hAnsi="Tahoma" w:cs="Tahoma"/>
          <w:spacing w:val="12"/>
          <w:lang w:val="es-ES" w:eastAsia="es-ES"/>
        </w:rPr>
      </w:pPr>
      <w:r>
        <w:rPr>
          <w:rStyle w:val="CharacterStyle1"/>
          <w:rFonts w:ascii="Tahoma" w:hAnsi="Tahoma" w:cs="Tahoma"/>
          <w:spacing w:val="10"/>
          <w:lang w:val="es-ES" w:eastAsia="es-ES"/>
        </w:rPr>
        <w:t xml:space="preserve">Que mediante el 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 xml:space="preserve">artículos 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 xml:space="preserve">5.-2 de la sesión ordinaria-01-2005 de la Junta Directiva del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Consejo de Transporte Público del 6 de enero de dos mil cinco, notificado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a este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Tribunal el día 1 de febrero de 2005, se acordó acoger las recomendaciones de la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Dirección de Asuntos Jurídicos y rechazar el recurso de revocatoria interpuesto por el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>señor CAV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 contra las actuaciones de la oficina de taxis, ya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 que 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 xml:space="preserve">carece de interés y por ser legalmente improcedente. A su vez eleva a conocimiento de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este Tribunal el recurso de apelación.</w:t>
      </w:r>
    </w:p>
    <w:p w:rsidR="00000000" w:rsidRDefault="00BD066A">
      <w:pPr>
        <w:pStyle w:val="Style3"/>
        <w:kinsoku w:val="0"/>
        <w:autoSpaceDE/>
        <w:autoSpaceDN/>
        <w:rPr>
          <w:rStyle w:val="CharacterStyle1"/>
          <w:rFonts w:ascii="Tahoma" w:hAnsi="Tahoma" w:cs="Tahoma"/>
          <w:spacing w:val="12"/>
          <w:lang w:val="es-ES" w:eastAsia="es-ES"/>
        </w:rPr>
      </w:pP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Que en las diligencias de instrucción de la apelación, por medio de las prevenciones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que corren a folios Nos: 35, 41 se previn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o tanto al Consejo de Transporte Público como al recurrente, sin obtener el libelo que contiene el recurso de revocatoria con apelación </w:t>
      </w:r>
      <w:r>
        <w:rPr>
          <w:rStyle w:val="CharacterStyle1"/>
          <w:rFonts w:ascii="Tahoma" w:hAnsi="Tahoma" w:cs="Tahoma"/>
          <w:spacing w:val="24"/>
          <w:lang w:val="es-ES" w:eastAsia="es-ES"/>
        </w:rPr>
        <w:t>en subsidio, presentado por el señor VH</w:t>
      </w:r>
      <w:r>
        <w:rPr>
          <w:rStyle w:val="CharacterStyle1"/>
          <w:rFonts w:ascii="Tahoma" w:hAnsi="Tahoma" w:cs="Tahoma"/>
          <w:spacing w:val="24"/>
          <w:lang w:val="es-ES" w:eastAsia="es-ES"/>
        </w:rPr>
        <w:t xml:space="preserve"> en contra de las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actuaciones de la Oficina de Taxis del Consej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o.</w:t>
      </w:r>
    </w:p>
    <w:p w:rsidR="00000000" w:rsidRDefault="00BD066A">
      <w:pPr>
        <w:pStyle w:val="Style3"/>
        <w:kinsoku w:val="0"/>
        <w:autoSpaceDE/>
        <w:autoSpaceDN/>
        <w:spacing w:before="216"/>
        <w:rPr>
          <w:rStyle w:val="CharacterStyle1"/>
          <w:rFonts w:ascii="Tahoma" w:hAnsi="Tahoma" w:cs="Tahoma"/>
          <w:spacing w:val="11"/>
          <w:lang w:val="es-ES" w:eastAsia="es-ES"/>
        </w:rPr>
      </w:pP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Que el día 29 de marzo de este año, se recibe una serie de documentos, entre los </w:t>
      </w:r>
      <w:proofErr w:type="gramStart"/>
      <w:r>
        <w:rPr>
          <w:rStyle w:val="CharacterStyle1"/>
          <w:rFonts w:ascii="Tahoma" w:hAnsi="Tahoma" w:cs="Tahoma"/>
          <w:spacing w:val="16"/>
          <w:lang w:val="es-ES" w:eastAsia="es-ES"/>
        </w:rPr>
        <w:t>cuales</w:t>
      </w:r>
      <w:proofErr w:type="gramEnd"/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 no se adjunta el recurso solicitado, por lo que por tercera vez se solicita el recurso en prevención del doce de abril, notificada a la Dirección el día 14 de ese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mismo mes. El día 13 de mayo de 2005, se recibe el oficio CTP-SE-05-0403 de la </w:t>
      </w:r>
      <w:r>
        <w:rPr>
          <w:rStyle w:val="CharacterStyle1"/>
          <w:rFonts w:ascii="Tahoma" w:hAnsi="Tahoma" w:cs="Tahoma"/>
          <w:spacing w:val="11"/>
          <w:lang w:val="es-ES" w:eastAsia="es-ES"/>
        </w:rPr>
        <w:t>Secretaría Ejecutiva del Consejo de Transporte Público, en la cual se indica:</w:t>
      </w:r>
    </w:p>
    <w:p w:rsidR="00000000" w:rsidRDefault="00BD066A">
      <w:pPr>
        <w:pStyle w:val="Style2"/>
        <w:kinsoku w:val="0"/>
        <w:autoSpaceDE/>
        <w:autoSpaceDN/>
        <w:adjustRightInd/>
        <w:spacing w:before="252"/>
        <w:ind w:left="648" w:right="576"/>
        <w:jc w:val="both"/>
        <w:rPr>
          <w:rFonts w:ascii="Tahoma" w:hAnsi="Tahoma" w:cs="Tahoma"/>
          <w:spacing w:val="13"/>
          <w:sz w:val="20"/>
          <w:szCs w:val="20"/>
          <w:lang w:val="es-ES" w:eastAsia="es-ES"/>
        </w:rPr>
      </w:pPr>
      <w:r>
        <w:rPr>
          <w:rFonts w:ascii="Tahoma" w:hAnsi="Tahoma" w:cs="Tahoma"/>
          <w:spacing w:val="27"/>
          <w:sz w:val="20"/>
          <w:szCs w:val="20"/>
          <w:lang w:val="es-ES" w:eastAsia="es-ES"/>
        </w:rPr>
        <w:t xml:space="preserve">.../..."sobre el recurso de revocatoria con apelación en subsidio,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presentada por el señor </w:t>
      </w:r>
      <w:proofErr w:type="gramStart"/>
      <w:r>
        <w:rPr>
          <w:rFonts w:ascii="Verdana" w:hAnsi="Verdana" w:cs="Verdana"/>
          <w:b/>
          <w:bCs/>
          <w:spacing w:val="5"/>
          <w:sz w:val="20"/>
          <w:szCs w:val="20"/>
          <w:lang w:val="es-ES" w:eastAsia="es-ES"/>
        </w:rPr>
        <w:t>CV</w:t>
      </w:r>
      <w:r>
        <w:rPr>
          <w:rFonts w:ascii="Verdana" w:hAnsi="Verdana" w:cs="Verdana"/>
          <w:b/>
          <w:bCs/>
          <w:spacing w:val="5"/>
          <w:sz w:val="20"/>
          <w:szCs w:val="20"/>
          <w:lang w:val="es-ES" w:eastAsia="es-ES"/>
        </w:rPr>
        <w:t>(</w:t>
      </w:r>
      <w:proofErr w:type="gramEnd"/>
      <w:r>
        <w:rPr>
          <w:rFonts w:ascii="Verdana" w:hAnsi="Verdana" w:cs="Verdana"/>
          <w:b/>
          <w:bCs/>
          <w:spacing w:val="5"/>
          <w:sz w:val="20"/>
          <w:szCs w:val="20"/>
          <w:lang w:val="es-ES" w:eastAsia="es-ES"/>
        </w:rPr>
        <w:t>sic)</w:t>
      </w:r>
      <w:r>
        <w:rPr>
          <w:rFonts w:ascii="Verdana" w:hAnsi="Verdana" w:cs="Verdana"/>
          <w:b/>
          <w:bCs/>
          <w:spacing w:val="5"/>
          <w:sz w:val="20"/>
          <w:szCs w:val="20"/>
          <w:lang w:val="es-ES" w:eastAsia="es-ES"/>
        </w:rPr>
        <w:t xml:space="preserve">H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se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adjunta el expediente que consta de 22 folios debidamente certificado, es lo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>único que consta en el archivo de esta Secretaría".../...</w:t>
      </w:r>
    </w:p>
    <w:p w:rsidR="00000000" w:rsidRDefault="00BD066A">
      <w:pPr>
        <w:pStyle w:val="Style2"/>
        <w:kinsoku w:val="0"/>
        <w:autoSpaceDE/>
        <w:autoSpaceDN/>
        <w:adjustRightInd/>
        <w:spacing w:before="216"/>
        <w:ind w:left="72" w:right="72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No obstante dentro de la información enviada, no, se encontraba el recurso de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revoca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toria con apelación en subsidio tantas veces solicitado.</w:t>
      </w:r>
    </w:p>
    <w:p w:rsidR="00000000" w:rsidRDefault="00BD066A">
      <w:pPr>
        <w:pStyle w:val="Style2"/>
        <w:kinsoku w:val="0"/>
        <w:autoSpaceDE/>
        <w:autoSpaceDN/>
        <w:adjustRightInd/>
        <w:spacing w:before="252"/>
        <w:ind w:left="72" w:right="72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Al respecto es importante señalar que el artículo 181 de la Ley General de la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Administración Pública dispone:</w:t>
      </w:r>
    </w:p>
    <w:p w:rsidR="00000000" w:rsidRDefault="00BD066A">
      <w:pPr>
        <w:pStyle w:val="Style2"/>
        <w:kinsoku w:val="0"/>
        <w:autoSpaceDE/>
        <w:autoSpaceDN/>
        <w:adjustRightInd/>
        <w:spacing w:before="180" w:after="864"/>
        <w:ind w:left="1008" w:right="648"/>
        <w:jc w:val="both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"El contralor no jerárquico podrá revisar sólo la legalidad del acto y en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virtud de recurso administrativo, y decidirá dentro del límite de las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pretensiones y cuestiones de hecho planteadas por el recurrente, pero podrá aplicar una norma no invocada en el recurso."</w:t>
      </w:r>
    </w:p>
    <w:p w:rsidR="00000000" w:rsidRDefault="00BD066A" w:rsidP="00BD066A">
      <w:pPr>
        <w:pStyle w:val="Style4"/>
        <w:kinsoku w:val="0"/>
        <w:autoSpaceDE/>
        <w:autoSpaceDN/>
        <w:adjustRightInd/>
        <w:ind w:right="216"/>
        <w:jc w:val="both"/>
        <w:rPr>
          <w:rStyle w:val="CharacterStyle5"/>
          <w:rFonts w:ascii="Tahoma" w:hAnsi="Tahoma" w:cs="Tahoma"/>
          <w:spacing w:val="9"/>
          <w:lang w:val="es-ES" w:eastAsia="es-ES"/>
        </w:rPr>
      </w:pPr>
      <w:r>
        <w:rPr>
          <w:rStyle w:val="CharacterStyle5"/>
          <w:rFonts w:ascii="Tahoma" w:hAnsi="Tahoma" w:cs="Tahoma"/>
          <w:spacing w:val="17"/>
          <w:lang w:val="es-ES" w:eastAsia="es-ES"/>
        </w:rPr>
        <w:t>Lo anterior en concordancia con el artíc</w:t>
      </w:r>
      <w:r>
        <w:rPr>
          <w:rStyle w:val="CharacterStyle5"/>
          <w:rFonts w:ascii="Tahoma" w:hAnsi="Tahoma" w:cs="Tahoma"/>
          <w:spacing w:val="17"/>
          <w:lang w:val="es-ES" w:eastAsia="es-ES"/>
        </w:rPr>
        <w:t xml:space="preserve">ulo 22 de la Ley Reguladora del Servicio Público de Transporte Remunerado de Personas en Vehículos en la Modalidad de </w:t>
      </w:r>
      <w:r>
        <w:rPr>
          <w:rStyle w:val="CharacterStyle5"/>
          <w:rFonts w:ascii="Tahoma" w:hAnsi="Tahoma" w:cs="Tahoma"/>
          <w:spacing w:val="9"/>
          <w:lang w:val="es-ES" w:eastAsia="es-ES"/>
        </w:rPr>
        <w:t>Taxis, que señala en lo que interesa:</w:t>
      </w:r>
    </w:p>
    <w:p w:rsidR="00000000" w:rsidRDefault="00BD066A">
      <w:pPr>
        <w:pStyle w:val="Style4"/>
        <w:kinsoku w:val="0"/>
        <w:autoSpaceDE/>
        <w:autoSpaceDN/>
        <w:adjustRightInd/>
        <w:spacing w:before="216"/>
        <w:ind w:left="936" w:right="720"/>
        <w:jc w:val="both"/>
        <w:rPr>
          <w:rStyle w:val="CharacterStyle5"/>
          <w:rFonts w:ascii="Tahoma" w:hAnsi="Tahoma" w:cs="Tahoma"/>
          <w:spacing w:val="8"/>
          <w:lang w:val="es-ES" w:eastAsia="es-ES"/>
        </w:rPr>
      </w:pPr>
      <w:r>
        <w:rPr>
          <w:rStyle w:val="CharacterStyle5"/>
          <w:rFonts w:ascii="Tahoma" w:hAnsi="Tahoma" w:cs="Tahoma"/>
          <w:spacing w:val="15"/>
          <w:lang w:val="es-ES" w:eastAsia="es-ES"/>
        </w:rPr>
        <w:t xml:space="preserve">"Artículo 22.- Competencia del Tribunal. El Tribunal será competente 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>para lo siguiente: a) Conocer y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 xml:space="preserve"> resolver, en sede administrativa, los </w:t>
      </w:r>
      <w:r>
        <w:rPr>
          <w:rStyle w:val="CharacterStyle5"/>
          <w:rFonts w:ascii="Tahoma" w:hAnsi="Tahoma" w:cs="Tahoma"/>
          <w:spacing w:val="19"/>
          <w:lang w:val="es-ES" w:eastAsia="es-ES"/>
        </w:rPr>
        <w:lastRenderedPageBreak/>
        <w:t xml:space="preserve">recursos de apelación que se interpongan contra cualquier acto o </w:t>
      </w:r>
      <w:r>
        <w:rPr>
          <w:rStyle w:val="CharacterStyle5"/>
          <w:rFonts w:ascii="Tahoma" w:hAnsi="Tahoma" w:cs="Tahoma"/>
          <w:spacing w:val="8"/>
          <w:lang w:val="es-ES" w:eastAsia="es-ES"/>
        </w:rPr>
        <w:t>resolución del Consejo."</w:t>
      </w:r>
    </w:p>
    <w:p w:rsidR="00000000" w:rsidRDefault="00BD066A">
      <w:pPr>
        <w:pStyle w:val="Style5"/>
        <w:kinsoku w:val="0"/>
        <w:autoSpaceDE/>
        <w:autoSpaceDN/>
        <w:rPr>
          <w:rFonts w:ascii="Tahoma" w:hAnsi="Tahoma" w:cs="Tahoma"/>
          <w:spacing w:val="10"/>
          <w:sz w:val="20"/>
          <w:szCs w:val="20"/>
          <w:lang w:val="es-ES" w:eastAsia="es-ES"/>
        </w:rPr>
      </w:pPr>
      <w:r>
        <w:rPr>
          <w:rFonts w:ascii="Tahoma" w:hAnsi="Tahoma" w:cs="Tahoma"/>
          <w:spacing w:val="9"/>
          <w:sz w:val="20"/>
          <w:szCs w:val="20"/>
          <w:lang w:val="es-ES" w:eastAsia="es-ES"/>
        </w:rPr>
        <w:t xml:space="preserve">Es necesario señalar que ese Consejo debe remitir en alzada, para ante el Tribunal, los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recursos de apelación que se le present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en, sin embargo en el caso en estudio, el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recurso de apelación no ha sido debidamente elevado para el conocimiento en esta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sede. Por esta razón debe ordenarse la remisión material de este expediente al Consejo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>de Transporte Público. No será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 hasta que el Consejo logre proveer el respectivo recurso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de apelación, que este Despacho podrá conocerlo y resolverlo, y de acuerdo con el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>artículo 22, inciso c) de la Ley 7969, agotar la vía administrativa.</w:t>
      </w:r>
    </w:p>
    <w:p w:rsidR="00000000" w:rsidRDefault="00BD066A">
      <w:pPr>
        <w:pStyle w:val="Style4"/>
        <w:kinsoku w:val="0"/>
        <w:autoSpaceDE/>
        <w:autoSpaceDN/>
        <w:adjustRightInd/>
        <w:spacing w:before="504" w:line="204" w:lineRule="auto"/>
        <w:jc w:val="center"/>
        <w:rPr>
          <w:rStyle w:val="CharacterStyle5"/>
          <w:rFonts w:ascii="Verdana" w:hAnsi="Verdana" w:cs="Verdana"/>
          <w:b/>
          <w:bCs/>
          <w:spacing w:val="-12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12"/>
          <w:w w:val="105"/>
          <w:lang w:val="es-ES" w:eastAsia="es-ES"/>
        </w:rPr>
        <w:t>POR TANTO</w:t>
      </w:r>
    </w:p>
    <w:p w:rsidR="00000000" w:rsidRDefault="00BD066A">
      <w:pPr>
        <w:pStyle w:val="Style5"/>
        <w:kinsoku w:val="0"/>
        <w:autoSpaceDE/>
        <w:autoSpaceDN/>
        <w:spacing w:before="504"/>
        <w:rPr>
          <w:rFonts w:ascii="Tahoma" w:hAnsi="Tahoma" w:cs="Tahoma"/>
          <w:spacing w:val="11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 xml:space="preserve">I.-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Se declara mal elevado el artícul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o 5.2 de la sesión ordinaria 01-2005 de la Junta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 xml:space="preserve">Directiva del Consejo de Transporte Público del 6 de enero de dos mil cinco, notificado a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este Tribunal el día 1 de febrero de 2005, acuerdo que rechaza el Recurso de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>Revocatoria interpuesto por la CAVH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, cédula de </w:t>
      </w:r>
      <w:proofErr w:type="gramStart"/>
      <w:r>
        <w:rPr>
          <w:rFonts w:ascii="Tahoma" w:hAnsi="Tahoma" w:cs="Tahoma"/>
          <w:spacing w:val="10"/>
          <w:sz w:val="20"/>
          <w:szCs w:val="20"/>
          <w:lang w:val="es-ES" w:eastAsia="es-ES"/>
        </w:rPr>
        <w:t>identidad …</w:t>
      </w:r>
      <w:proofErr w:type="gramEnd"/>
      <w:r>
        <w:rPr>
          <w:rFonts w:ascii="Tahoma" w:hAnsi="Tahoma" w:cs="Tahoma"/>
          <w:spacing w:val="10"/>
          <w:sz w:val="20"/>
          <w:szCs w:val="20"/>
          <w:lang w:val="es-ES" w:eastAsia="es-ES"/>
        </w:rPr>
        <w:t xml:space="preserve">, contra actuaciones de la oficina de taxis, y admite el Recurso de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>Apelación, interpuesto ante el Tribunal Administrativo de Transporte, el cual no remite.</w:t>
      </w:r>
    </w:p>
    <w:p w:rsidR="00000000" w:rsidRDefault="00BD066A" w:rsidP="00BD066A">
      <w:pPr>
        <w:pStyle w:val="Style4"/>
        <w:kinsoku w:val="0"/>
        <w:autoSpaceDE/>
        <w:autoSpaceDN/>
        <w:adjustRightInd/>
        <w:spacing w:before="216"/>
        <w:ind w:left="72"/>
        <w:jc w:val="both"/>
        <w:rPr>
          <w:rStyle w:val="CharacterStyle5"/>
          <w:rFonts w:ascii="Tahoma" w:hAnsi="Tahoma" w:cs="Tahoma"/>
          <w:spacing w:val="6"/>
          <w:lang w:val="es-ES" w:eastAsia="es-ES"/>
        </w:rPr>
      </w:pPr>
      <w:r>
        <w:rPr>
          <w:rFonts w:ascii="Verdana" w:hAnsi="Verdana" w:cs="Verdana"/>
          <w:b/>
          <w:bCs/>
          <w:spacing w:val="12"/>
          <w:w w:val="105"/>
          <w:lang w:val="es-ES" w:eastAsia="es-ES"/>
        </w:rPr>
        <w:t xml:space="preserve">II.- </w:t>
      </w:r>
      <w:r>
        <w:rPr>
          <w:rStyle w:val="CharacterStyle5"/>
          <w:rFonts w:ascii="Tahoma" w:hAnsi="Tahoma" w:cs="Tahoma"/>
          <w:spacing w:val="10"/>
          <w:lang w:val="es-ES" w:eastAsia="es-ES"/>
        </w:rPr>
        <w:t>Notifí</w:t>
      </w:r>
      <w:r>
        <w:rPr>
          <w:rStyle w:val="CharacterStyle5"/>
          <w:rFonts w:ascii="Tahoma" w:hAnsi="Tahoma" w:cs="Tahoma"/>
          <w:spacing w:val="10"/>
          <w:lang w:val="es-ES" w:eastAsia="es-ES"/>
        </w:rPr>
        <w:t xml:space="preserve">quese a la Junta Directiva y a la Auditoría Interna del Consejo de Transporte </w:t>
      </w:r>
      <w:r>
        <w:rPr>
          <w:rStyle w:val="CharacterStyle5"/>
          <w:rFonts w:ascii="Tahoma" w:hAnsi="Tahoma" w:cs="Tahoma"/>
          <w:spacing w:val="24"/>
          <w:lang w:val="es-ES" w:eastAsia="es-ES"/>
        </w:rPr>
        <w:t xml:space="preserve">Público la irregularidad aquí establecida, para que se orden la investigación </w:t>
      </w:r>
      <w:r>
        <w:rPr>
          <w:rStyle w:val="CharacterStyle5"/>
          <w:rFonts w:ascii="Tahoma" w:hAnsi="Tahoma" w:cs="Tahoma"/>
          <w:spacing w:val="6"/>
          <w:lang w:val="es-ES" w:eastAsia="es-ES"/>
        </w:rPr>
        <w:t>correspondiente.</w:t>
      </w:r>
    </w:p>
    <w:p w:rsidR="00BD066A" w:rsidRDefault="00BD066A" w:rsidP="00BD066A">
      <w:pPr>
        <w:pStyle w:val="Style5"/>
        <w:kinsoku w:val="0"/>
        <w:autoSpaceDE/>
        <w:autoSpaceDN/>
        <w:rPr>
          <w:rFonts w:ascii="Verdana" w:hAnsi="Verdana" w:cs="Verdana"/>
          <w:b/>
          <w:bCs/>
          <w:spacing w:val="-5"/>
          <w:w w:val="105"/>
          <w:sz w:val="20"/>
          <w:szCs w:val="20"/>
          <w:lang w:val="es-ES" w:eastAsia="es-ES"/>
        </w:rPr>
      </w:pPr>
      <w:r w:rsidRPr="00BD066A"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>III.-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 Se devuelve para el trámite respectivo al Consejo de Transporte Público, artí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culo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5.2 de la sesión ordinaria 01-2005 de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>la Junt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a Directiva del Consejo de Transporte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Público del 6 de enero de dos mil cinco, notificado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a este Tribunal el día 1 de febrero de </w:t>
      </w:r>
      <w:r>
        <w:rPr>
          <w:rFonts w:ascii="Tahoma" w:hAnsi="Tahoma" w:cs="Tahoma"/>
          <w:spacing w:val="-5"/>
          <w:sz w:val="20"/>
          <w:szCs w:val="20"/>
          <w:lang w:val="es-ES" w:eastAsia="es-ES"/>
        </w:rPr>
        <w:t xml:space="preserve">2005. </w:t>
      </w:r>
      <w:r>
        <w:rPr>
          <w:rFonts w:ascii="Verdana" w:hAnsi="Verdana" w:cs="Verdana"/>
          <w:b/>
          <w:bCs/>
          <w:spacing w:val="-5"/>
          <w:w w:val="105"/>
          <w:sz w:val="20"/>
          <w:szCs w:val="20"/>
          <w:lang w:val="es-ES" w:eastAsia="es-ES"/>
        </w:rPr>
        <w:t>NOTIFIQUESE</w:t>
      </w:r>
    </w:p>
    <w:p w:rsidR="00BD066A" w:rsidRDefault="00BD066A" w:rsidP="00BD066A">
      <w:pPr>
        <w:pStyle w:val="Style5"/>
        <w:kinsoku w:val="0"/>
        <w:autoSpaceDE/>
        <w:autoSpaceDN/>
        <w:rPr>
          <w:rFonts w:ascii="Verdana" w:hAnsi="Verdana" w:cs="Verdana"/>
          <w:b/>
          <w:bCs/>
          <w:spacing w:val="-5"/>
          <w:w w:val="105"/>
          <w:sz w:val="20"/>
          <w:szCs w:val="20"/>
          <w:lang w:val="es-ES" w:eastAsia="es-ES"/>
        </w:rPr>
      </w:pPr>
    </w:p>
    <w:p w:rsidR="00BD066A" w:rsidRPr="007A7E6E" w:rsidRDefault="00BD066A" w:rsidP="00BD066A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Lic. Luis Gerardo Fallas Acosta</w:t>
      </w:r>
    </w:p>
    <w:p w:rsidR="00BD066A" w:rsidRPr="007A7E6E" w:rsidRDefault="00BD066A" w:rsidP="00BD066A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Presidente</w:t>
      </w:r>
    </w:p>
    <w:p w:rsidR="00BD066A" w:rsidRPr="007A7E6E" w:rsidRDefault="00BD066A" w:rsidP="00BD066A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BD066A" w:rsidRPr="007A7E6E" w:rsidRDefault="00BD066A" w:rsidP="00BD066A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BD066A" w:rsidRPr="007A7E6E" w:rsidRDefault="00BD066A" w:rsidP="00BD066A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>Licda. Marta Luz Pérez Peláez</w:t>
      </w:r>
    </w:p>
    <w:p w:rsidR="00BD066A" w:rsidRPr="007A7E6E" w:rsidRDefault="00BD066A" w:rsidP="00BD066A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Juez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 xml:space="preserve">    </w:t>
      </w:r>
      <w:r w:rsidRPr="007A7E6E">
        <w:rPr>
          <w:b/>
          <w:sz w:val="22"/>
          <w:szCs w:val="22"/>
          <w:lang w:val="es-CR" w:eastAsia="es-ES"/>
        </w:rPr>
        <w:tab/>
        <w:t xml:space="preserve">    Juez</w:t>
      </w:r>
    </w:p>
    <w:p w:rsidR="00BD066A" w:rsidRPr="007A7E6E" w:rsidRDefault="00BD066A" w:rsidP="00BD066A">
      <w:pPr>
        <w:pStyle w:val="Style2"/>
        <w:kinsoku w:val="0"/>
        <w:autoSpaceDE/>
        <w:autoSpaceDN/>
        <w:adjustRightInd/>
        <w:spacing w:line="232" w:lineRule="exact"/>
        <w:ind w:right="227"/>
        <w:jc w:val="both"/>
        <w:rPr>
          <w:rStyle w:val="CharacterStyle2"/>
          <w:b w:val="0"/>
          <w:bCs w:val="0"/>
          <w:spacing w:val="-14"/>
          <w:w w:val="105"/>
          <w:lang w:val="es-CR" w:eastAsia="es-ES"/>
        </w:rPr>
      </w:pPr>
    </w:p>
    <w:p w:rsidR="00BD066A" w:rsidRPr="00BD066A" w:rsidRDefault="00BD066A" w:rsidP="00BD066A">
      <w:pPr>
        <w:pStyle w:val="Style5"/>
        <w:kinsoku w:val="0"/>
        <w:autoSpaceDE/>
        <w:autoSpaceDN/>
        <w:rPr>
          <w:rFonts w:ascii="Verdana" w:hAnsi="Verdana" w:cs="Verdana"/>
          <w:spacing w:val="-73"/>
          <w:vertAlign w:val="superscript"/>
          <w:lang w:val="es-CR" w:eastAsia="es-ES"/>
        </w:rPr>
      </w:pPr>
    </w:p>
    <w:sectPr w:rsidR="00BD066A" w:rsidRPr="00BD066A">
      <w:pgSz w:w="12134" w:h="15840"/>
      <w:pgMar w:top="1465" w:right="1528" w:bottom="543" w:left="169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04007B"/>
    <w:rsid w:val="0004007B"/>
    <w:rsid w:val="00696831"/>
    <w:rsid w:val="008E6420"/>
    <w:rsid w:val="00BD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line="201" w:lineRule="auto"/>
      <w:jc w:val="center"/>
    </w:pPr>
    <w:rPr>
      <w:b/>
      <w:bCs/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/>
      <w:ind w:left="72" w:right="72"/>
      <w:jc w:val="both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360"/>
    </w:pPr>
    <w:rPr>
      <w:sz w:val="23"/>
      <w:szCs w:val="23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/>
      <w:ind w:left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432"/>
      <w:ind w:left="72"/>
    </w:pPr>
    <w:rPr>
      <w:sz w:val="23"/>
      <w:szCs w:val="23"/>
    </w:rPr>
  </w:style>
  <w:style w:type="character" w:customStyle="1" w:styleId="CharacterStyle2">
    <w:name w:val="Character Style 2"/>
    <w:uiPriority w:val="99"/>
    <w:rPr>
      <w:b/>
      <w:bCs/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6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66A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BD066A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2012-11-05T14:05:00Z</dcterms:created>
  <dcterms:modified xsi:type="dcterms:W3CDTF">2012-11-05T14:41:00Z</dcterms:modified>
</cp:coreProperties>
</file>